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3EE0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 xml:space="preserve">OPĆINA RAŽANAC </w:t>
      </w:r>
    </w:p>
    <w:p w14:paraId="14BFF8EF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Ražanac XVII 61</w:t>
      </w:r>
    </w:p>
    <w:p w14:paraId="23BDAF55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23248 Ražanac</w:t>
      </w:r>
    </w:p>
    <w:p w14:paraId="3EFC26CC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MB: 02705206</w:t>
      </w:r>
    </w:p>
    <w:p w14:paraId="6A692E8F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OIB: 08842442553</w:t>
      </w:r>
    </w:p>
    <w:p w14:paraId="602C049B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RKP: 35167</w:t>
      </w:r>
    </w:p>
    <w:p w14:paraId="13B9944A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Razina: 22</w:t>
      </w:r>
    </w:p>
    <w:p w14:paraId="517A9686" w14:textId="21BF8DA5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Ozna</w:t>
      </w:r>
      <w:r w:rsidR="000D0852">
        <w:rPr>
          <w:rFonts w:ascii="Times New Roman" w:hAnsi="Times New Roman" w:cs="Times New Roman"/>
          <w:sz w:val="24"/>
          <w:szCs w:val="24"/>
        </w:rPr>
        <w:t>k</w:t>
      </w:r>
      <w:r w:rsidRPr="004F4A2F">
        <w:rPr>
          <w:rFonts w:ascii="Times New Roman" w:hAnsi="Times New Roman" w:cs="Times New Roman"/>
          <w:sz w:val="24"/>
          <w:szCs w:val="24"/>
        </w:rPr>
        <w:t xml:space="preserve">a razdoblja: </w:t>
      </w:r>
      <w:r w:rsidR="008A5825">
        <w:rPr>
          <w:rFonts w:ascii="Times New Roman" w:hAnsi="Times New Roman" w:cs="Times New Roman"/>
          <w:sz w:val="24"/>
          <w:szCs w:val="24"/>
        </w:rPr>
        <w:t>2025-0</w:t>
      </w:r>
      <w:r w:rsidR="00D52158">
        <w:rPr>
          <w:rFonts w:ascii="Times New Roman" w:hAnsi="Times New Roman" w:cs="Times New Roman"/>
          <w:sz w:val="24"/>
          <w:szCs w:val="24"/>
        </w:rPr>
        <w:t>6</w:t>
      </w:r>
    </w:p>
    <w:p w14:paraId="66ED82FF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Šifra djelatnosti: 8411</w:t>
      </w:r>
    </w:p>
    <w:p w14:paraId="40C75531" w14:textId="77777777" w:rsidR="00DB071D" w:rsidRPr="004F4A2F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Šifra općine: 371</w:t>
      </w:r>
    </w:p>
    <w:p w14:paraId="3A1C0980" w14:textId="77777777" w:rsidR="00DB071D" w:rsidRDefault="00DB071D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F3D0" w14:textId="77777777" w:rsidR="00F9253A" w:rsidRDefault="00F9253A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8B4D1" w14:textId="77777777" w:rsidR="00F9253A" w:rsidRPr="004F4A2F" w:rsidRDefault="00F9253A" w:rsidP="00DB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53F07" w14:textId="77777777" w:rsidR="00DB071D" w:rsidRPr="004F4A2F" w:rsidRDefault="00DB071D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2F">
        <w:rPr>
          <w:rFonts w:ascii="Times New Roman" w:hAnsi="Times New Roman" w:cs="Times New Roman"/>
          <w:b/>
          <w:sz w:val="24"/>
          <w:szCs w:val="24"/>
        </w:rPr>
        <w:t xml:space="preserve">BILJEŠKE UZ </w:t>
      </w:r>
      <w:r>
        <w:rPr>
          <w:rFonts w:ascii="Times New Roman" w:hAnsi="Times New Roman" w:cs="Times New Roman"/>
          <w:b/>
          <w:sz w:val="24"/>
          <w:szCs w:val="24"/>
        </w:rPr>
        <w:t xml:space="preserve">FINANCIJSKA IZVJEŠĆA </w:t>
      </w:r>
      <w:r w:rsidRPr="004F4A2F">
        <w:rPr>
          <w:rFonts w:ascii="Times New Roman" w:hAnsi="Times New Roman" w:cs="Times New Roman"/>
          <w:b/>
          <w:sz w:val="24"/>
          <w:szCs w:val="24"/>
        </w:rPr>
        <w:t>ZA RAZDOBLJE</w:t>
      </w:r>
    </w:p>
    <w:p w14:paraId="3E6FCCFB" w14:textId="024CB5EE" w:rsidR="00DB071D" w:rsidRDefault="00DB071D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2F">
        <w:rPr>
          <w:rFonts w:ascii="Times New Roman" w:hAnsi="Times New Roman" w:cs="Times New Roman"/>
          <w:b/>
          <w:sz w:val="24"/>
          <w:szCs w:val="24"/>
        </w:rPr>
        <w:t>OD 01.01.202</w:t>
      </w:r>
      <w:r w:rsidR="008A5825">
        <w:rPr>
          <w:rFonts w:ascii="Times New Roman" w:hAnsi="Times New Roman" w:cs="Times New Roman"/>
          <w:b/>
          <w:sz w:val="24"/>
          <w:szCs w:val="24"/>
        </w:rPr>
        <w:t>5</w:t>
      </w:r>
      <w:r w:rsidRPr="004F4A2F">
        <w:rPr>
          <w:rFonts w:ascii="Times New Roman" w:hAnsi="Times New Roman" w:cs="Times New Roman"/>
          <w:b/>
          <w:sz w:val="24"/>
          <w:szCs w:val="24"/>
        </w:rPr>
        <w:t>. – 3</w:t>
      </w:r>
      <w:r w:rsidR="00D52158">
        <w:rPr>
          <w:rFonts w:ascii="Times New Roman" w:hAnsi="Times New Roman" w:cs="Times New Roman"/>
          <w:b/>
          <w:sz w:val="24"/>
          <w:szCs w:val="24"/>
        </w:rPr>
        <w:t>0</w:t>
      </w:r>
      <w:r w:rsidRPr="004F4A2F">
        <w:rPr>
          <w:rFonts w:ascii="Times New Roman" w:hAnsi="Times New Roman" w:cs="Times New Roman"/>
          <w:b/>
          <w:sz w:val="24"/>
          <w:szCs w:val="24"/>
        </w:rPr>
        <w:t>.</w:t>
      </w:r>
      <w:r w:rsidR="008A5825">
        <w:rPr>
          <w:rFonts w:ascii="Times New Roman" w:hAnsi="Times New Roman" w:cs="Times New Roman"/>
          <w:b/>
          <w:sz w:val="24"/>
          <w:szCs w:val="24"/>
        </w:rPr>
        <w:t>0</w:t>
      </w:r>
      <w:r w:rsidR="00D52158">
        <w:rPr>
          <w:rFonts w:ascii="Times New Roman" w:hAnsi="Times New Roman" w:cs="Times New Roman"/>
          <w:b/>
          <w:sz w:val="24"/>
          <w:szCs w:val="24"/>
        </w:rPr>
        <w:t>6</w:t>
      </w:r>
      <w:r w:rsidRPr="004F4A2F">
        <w:rPr>
          <w:rFonts w:ascii="Times New Roman" w:hAnsi="Times New Roman" w:cs="Times New Roman"/>
          <w:b/>
          <w:sz w:val="24"/>
          <w:szCs w:val="24"/>
        </w:rPr>
        <w:t>.202</w:t>
      </w:r>
      <w:r w:rsidR="008A5825">
        <w:rPr>
          <w:rFonts w:ascii="Times New Roman" w:hAnsi="Times New Roman" w:cs="Times New Roman"/>
          <w:b/>
          <w:sz w:val="24"/>
          <w:szCs w:val="24"/>
        </w:rPr>
        <w:t>5</w:t>
      </w:r>
      <w:r w:rsidRPr="004F4A2F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C6368AA" w14:textId="77777777" w:rsidR="00F9253A" w:rsidRDefault="00F9253A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78010" w14:textId="77777777" w:rsidR="00DB071D" w:rsidRDefault="00DB071D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5C9CD" w14:textId="77777777" w:rsidR="0005356B" w:rsidRDefault="0005356B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96C95" w14:textId="77777777" w:rsidR="0005356B" w:rsidRDefault="0005356B" w:rsidP="00DB0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F44D" w14:textId="77777777" w:rsidR="00DB071D" w:rsidRDefault="00DB071D" w:rsidP="00DB071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 </w:t>
      </w:r>
      <w:r w:rsidRPr="00E10DFC">
        <w:rPr>
          <w:rFonts w:ascii="Times New Roman" w:hAnsi="Times New Roman" w:cs="Times New Roman"/>
          <w:b/>
          <w:i/>
          <w:sz w:val="24"/>
          <w:szCs w:val="24"/>
          <w:u w:val="single"/>
        </w:rPr>
        <w:t>Bilješke uz Izvještaj o prihodima i rashodima, primicima i izdacima (PR-RAS)</w:t>
      </w:r>
    </w:p>
    <w:p w14:paraId="6A580EED" w14:textId="508A3E60" w:rsidR="00DB071D" w:rsidRDefault="00DB071D" w:rsidP="00DB0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0A5">
        <w:rPr>
          <w:rFonts w:ascii="Times New Roman" w:hAnsi="Times New Roman" w:cs="Times New Roman"/>
          <w:b/>
          <w:sz w:val="24"/>
          <w:szCs w:val="24"/>
        </w:rPr>
        <w:t>P</w:t>
      </w:r>
      <w:r w:rsidR="00BC3257">
        <w:rPr>
          <w:rFonts w:ascii="Times New Roman" w:hAnsi="Times New Roman" w:cs="Times New Roman"/>
          <w:b/>
          <w:sz w:val="24"/>
          <w:szCs w:val="24"/>
        </w:rPr>
        <w:t>RIHODI POSLOVANJA</w:t>
      </w:r>
    </w:p>
    <w:p w14:paraId="4F419C19" w14:textId="343EB0F9" w:rsidR="00DB071D" w:rsidRPr="000B1876" w:rsidRDefault="00DB071D" w:rsidP="00DB0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87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poslovanja</w:t>
      </w:r>
      <w:r w:rsidRPr="00B415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1.466.001,62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13,80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 isto razdoblje 202</w:t>
      </w:r>
      <w:r w:rsidR="008A582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 Struktura prihoda</w:t>
      </w:r>
      <w:r w:rsidR="00383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slijedeća</w:t>
      </w:r>
      <w:r w:rsidRPr="00B415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30E4A8B" w14:textId="77777777" w:rsidR="00DB071D" w:rsidRDefault="00DB071D" w:rsidP="00DB0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6F6565" w14:textId="46CA71D8" w:rsidR="00DB071D" w:rsidRDefault="00DB071D" w:rsidP="00DB071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07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poreza (šifra 61)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od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800.936,64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3,90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 isto razdoblje 202</w:t>
      </w:r>
      <w:r w:rsidR="008A582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 Prihodi od poreza ostvareni su kako slijedi:</w:t>
      </w:r>
    </w:p>
    <w:p w14:paraId="300D4D30" w14:textId="577FDA4B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071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Porez na dohodak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520.741,61 EUR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69CDB06" w14:textId="2D18B4AA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Porez na imovinu 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277.208,86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17DD20F" w14:textId="5C68C77F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Porez na robu i usluge </w:t>
      </w:r>
      <w:r w:rsidRPr="00DB07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2.986,17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B004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385D3A" w14:textId="77777777" w:rsidR="00B004AE" w:rsidRDefault="00B004AE" w:rsidP="00B004AE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DBE0A" w14:textId="2573C8ED" w:rsidR="00B004AE" w:rsidRPr="00B004AE" w:rsidRDefault="00B004AE" w:rsidP="00B0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Najznačajnije povećanje bilježi se kod prihoda od poreza na dohodak što je izravna posljedica promjene porezne politike te porata plaća u odnosu na početak 2024. godine.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rihod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poreza na imovinu, točnije povremenih poreza na imovinu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manji za 22,10 %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je uglavnom rezultat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manjeg ostvarenja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poreza na prometa nekretninama u odnosu na prethodnu godinu.</w:t>
      </w:r>
    </w:p>
    <w:p w14:paraId="0B416EF4" w14:textId="253FD014" w:rsidR="00DB071D" w:rsidRPr="00DB071D" w:rsidRDefault="00DB071D" w:rsidP="00DB0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E79B4" w14:textId="75294B6E" w:rsidR="00DB071D" w:rsidRDefault="00DB071D" w:rsidP="00DB071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 iz inozemstva i od subjekata unutar općeg proračuna (šifra 63)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ostvarene su u iznosu od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485.494,01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60,90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više u odnosu na isto razdoblje prethodne godine. Ova vrsta prihoda ostvarena je kako slijedi:</w:t>
      </w:r>
    </w:p>
    <w:p w14:paraId="414B0D78" w14:textId="05FB1CEA" w:rsidR="00DB071D" w:rsidRDefault="00DB071D" w:rsidP="00DB071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Pomoći proračunu iz drugih proračuna </w:t>
      </w:r>
      <w:r w:rsid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273.064,56</w:t>
      </w:r>
      <w:r w:rsidR="008A5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497AEC" w14:textId="01EF243B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Pomoći temeljem prijenosa EU sredstava 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212.429,45</w:t>
      </w:r>
      <w:r w:rsidR="000D0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1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EC3C97" w14:textId="77777777" w:rsidR="00B004AE" w:rsidRDefault="00B004AE" w:rsidP="00B0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7FA4FB" w14:textId="266CB512" w:rsidR="002124AA" w:rsidRPr="00002626" w:rsidRDefault="00D52158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značajno veći prihodi od kapitalnih pomoću proračunu iz drugih proračuna u odnosu na isto razdoblje 2024. godine kada uopće nije bilo ostvarenja ove vrste prihoda. Kod ostalih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podskupina ostvarenje je na razini istog razdoblja prethodne godine. </w:t>
      </w:r>
    </w:p>
    <w:p w14:paraId="711C625E" w14:textId="6BBA47B8" w:rsidR="002124AA" w:rsidRDefault="002124AA" w:rsidP="002124A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Prihodi od imovine (šifra 64)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iznosu od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>20.715,32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predstavlja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 w:rsidR="008A5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13,40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isto razdoblje 202</w:t>
      </w:r>
      <w:r w:rsidR="00B004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 Prihodi od imovine ostvareni su kako slijedi:</w:t>
      </w:r>
    </w:p>
    <w:p w14:paraId="274499C5" w14:textId="46E0DA4B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Prihodi od financijske imovine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>5,26 EUR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1D07A58" w14:textId="5E8FFF67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Prihodi od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ne</w:t>
      </w:r>
      <w:r w:rsidRPr="002124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financijske imovine</w:t>
      </w:r>
      <w:r w:rsidRPr="002124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>20.710,06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DD11BD" w14:textId="77777777" w:rsidR="00002626" w:rsidRDefault="00002626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8C1B3" w14:textId="5C640522" w:rsidR="00002626" w:rsidRPr="00002626" w:rsidRDefault="00002626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imovine ostvareni su u sličnom iznosu kao i prethodne godine.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Nešto bolje ostvarenje bilježi se kod prihoda od imovine (13,40 % više u odnosu na 2024. godinu) kod prihoda od  nefinancijske imovine.</w:t>
      </w:r>
    </w:p>
    <w:p w14:paraId="4C0CFCD9" w14:textId="610E0486" w:rsidR="002124AA" w:rsidRDefault="002124AA" w:rsidP="002124AA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97FEE8" w14:textId="2C071BB3" w:rsidR="002124AA" w:rsidRDefault="002124AA" w:rsidP="002124A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Prihodi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upravnih i administrativnih pristojbi, pristojbi po</w:t>
      </w:r>
      <w:r w:rsidR="000D08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posebnim propisima  i naknada </w:t>
      </w: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(šifra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021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>147.512,92 EUR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311CB3">
        <w:rPr>
          <w:rFonts w:ascii="Times New Roman" w:eastAsia="Times New Roman" w:hAnsi="Times New Roman" w:cs="Times New Roman"/>
          <w:sz w:val="24"/>
          <w:szCs w:val="24"/>
          <w:lang w:eastAsia="hr-HR"/>
        </w:rPr>
        <w:t>21,50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r w:rsidR="00002626">
        <w:rPr>
          <w:rFonts w:ascii="Times New Roman" w:eastAsia="Times New Roman" w:hAnsi="Times New Roman" w:cs="Times New Roman"/>
          <w:sz w:val="24"/>
          <w:szCs w:val="24"/>
          <w:lang w:eastAsia="hr-HR"/>
        </w:rPr>
        <w:t>manje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isto razdoblje 202</w:t>
      </w:r>
      <w:r w:rsidR="0000262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021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vrsta prihoda ostvarena je kako slijedi:</w:t>
      </w:r>
    </w:p>
    <w:p w14:paraId="36F7A966" w14:textId="77777777" w:rsidR="00311CB3" w:rsidRDefault="00311CB3" w:rsidP="00311CB3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187C06" w14:textId="1EC1A787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124A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Upravne i administrativne pristojbe</w:t>
      </w:r>
      <w:r w:rsidRPr="002124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311C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8.000,54 EUR</w:t>
      </w:r>
      <w:r w:rsidRPr="002124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748EA4B2" w14:textId="64A15CC4" w:rsidR="002124AA" w:rsidRP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Prihodi po posebnim propisima </w:t>
      </w:r>
      <w:r w:rsidRPr="002124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0026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104,36</w:t>
      </w:r>
      <w:r w:rsidR="000D08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11C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,</w:t>
      </w:r>
    </w:p>
    <w:p w14:paraId="52830B6F" w14:textId="0CA00293" w:rsidR="002124AA" w:rsidRDefault="002124AA" w:rsidP="002124A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Ko</w:t>
      </w:r>
      <w:r w:rsidR="000D08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unalni doprinosi i naknade </w:t>
      </w:r>
      <w:r w:rsidRPr="00BC32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139.365,88</w:t>
      </w:r>
      <w:r w:rsidR="000D08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 w:rsidR="00BC32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6B6E9F5" w14:textId="77777777" w:rsidR="00002626" w:rsidRDefault="00002626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63A16D" w14:textId="544D39BB" w:rsidR="00002626" w:rsidRPr="00002626" w:rsidRDefault="00FB4277" w:rsidP="00002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Prihodi od u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pravne i administrativn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ih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pristojbe ostvaren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783,0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manji</w:t>
      </w:r>
      <w:r w:rsidR="001F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odnosu na isto razdoblje </w:t>
      </w:r>
      <w:r w:rsidR="00EB03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2024. godine. Značajni pad bilježi se kod komunalnih doprinosa i naknada a razlog je manji broj izdanih Rješenja u odnosu na isto razdoblje 2024. godine. </w:t>
      </w:r>
    </w:p>
    <w:p w14:paraId="3E9DAFC9" w14:textId="77777777" w:rsidR="00BC3257" w:rsidRDefault="00BC3257" w:rsidP="00BC3257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CC7406" w14:textId="0ED62DE4" w:rsidR="00E15ED1" w:rsidRDefault="00BC3257" w:rsidP="006F46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42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 od prodaje proizvoda i roba te pruženih usluga, prihod od donacija te povrati po protestiranim jamstvima (šifra 66)</w:t>
      </w:r>
      <w:r w:rsidRP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ostvareni su u iznosu od </w:t>
      </w:r>
      <w:r w:rsidR="00E15ED1" w:rsidRP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8.391,90</w:t>
      </w:r>
      <w:r w:rsidRP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EUR što je za 1,30 % više u odnosu na isto razdoblje 2024. godine. </w:t>
      </w:r>
      <w:r w:rsidR="00E15ED1" w:rsidRP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26F05CF" w14:textId="77777777" w:rsidR="00FB4277" w:rsidRPr="00FB4277" w:rsidRDefault="00FB4277" w:rsidP="00FB42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799F894" w14:textId="4A1894E0" w:rsidR="00E15ED1" w:rsidRDefault="00BC3257" w:rsidP="00BC325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C32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Kazne, upravne mjere i ostali prihodi (šifra 68)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ostvareni su u iznosu od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2.960,83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EUR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što predstavlja </w:t>
      </w:r>
      <w:r w:rsidR="009B5E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povećanje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 </w:t>
      </w:r>
      <w:r w:rsidR="00FB42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182,70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isto razdoblje 202</w:t>
      </w:r>
      <w:r w:rsidR="00E15E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godine.</w:t>
      </w:r>
    </w:p>
    <w:p w14:paraId="1D8C60D8" w14:textId="77777777" w:rsidR="00FB4277" w:rsidRDefault="00FB4277" w:rsidP="00FB42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4AE070" w14:textId="7E1CED8F" w:rsidR="00B54FBF" w:rsidRPr="00E15ED1" w:rsidRDefault="00FB4277" w:rsidP="00E15E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Najznačajnije povećanje bilježi se kod ostalih prihoda zbog aktivacije pologa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prekope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javnih površina budući da stranke nisu vratile iste u prijašnje stanje.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B61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Također još jedan od razloga </w:t>
      </w:r>
      <w:r w:rsidR="00E15E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većeg ostvarenja ove vrste prihoda u odnosu na 2024. godinu su poslane opomene za neplaćene kazne za prometne prekršaje te naplata istih. </w:t>
      </w:r>
      <w:r w:rsidR="00BC3257" w:rsidRPr="00E15E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7A9101ED" w14:textId="77777777" w:rsidR="00B54FBF" w:rsidRPr="00B54FBF" w:rsidRDefault="00B54FBF" w:rsidP="00B54FBF">
      <w:pPr>
        <w:pStyle w:val="Odlomakpopis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2D5C0F" w14:textId="1EB051E6" w:rsidR="00B54FBF" w:rsidRPr="006B40A5" w:rsidRDefault="00B54FBF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ASHODI POSLOVANJA</w:t>
      </w:r>
    </w:p>
    <w:p w14:paraId="0B31ABA8" w14:textId="1907A24D" w:rsidR="00B54FBF" w:rsidRDefault="00B54FBF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izvršeni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u iznosu od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>1.303.017,31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za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>67,10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nosu na isto razdoblje 202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 w:rsidRPr="00ED4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 kako slijedi:</w:t>
      </w:r>
    </w:p>
    <w:p w14:paraId="2B81337D" w14:textId="77777777" w:rsidR="00B54FBF" w:rsidRDefault="00B54FBF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C63DE8" w14:textId="1CB23369" w:rsidR="00B54FBF" w:rsidRDefault="00B54FBF" w:rsidP="00B54F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322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za zaposlene (šifra 31)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izvršeni su u iznosu od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>207.3772,72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predstavlja povećanje od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>59,50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isto razdoblje 202</w:t>
      </w:r>
      <w:r w:rsidR="00E15E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za zaposlene izvršeni su kako slijedi:</w:t>
      </w:r>
    </w:p>
    <w:p w14:paraId="7641CADD" w14:textId="7C1F05BA" w:rsidR="00B54FBF" w:rsidRDefault="00B54FBF" w:rsidP="00B54FBF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49B6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Plaće (bruto)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171.475,35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55107B77" w14:textId="3CDE2B90" w:rsidR="00B54FBF" w:rsidRDefault="00B54FBF" w:rsidP="00B54FBF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Ostali rashodi za zaposlene 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7.659,95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745D75BE" w14:textId="0716E4A8" w:rsidR="00B54FBF" w:rsidRDefault="00B54FBF" w:rsidP="00B54FBF">
      <w:pPr>
        <w:pStyle w:val="Odlomakpopisa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Doprinosi na plaće </w:t>
      </w:r>
      <w:r w:rsidRPr="00ED49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4D3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28.237,42 EUR</w:t>
      </w:r>
      <w:r w:rsidR="00B322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581C256" w14:textId="77777777" w:rsidR="00E15ED1" w:rsidRDefault="00E15ED1" w:rsidP="00E15E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7B0158" w14:textId="702E0AC8" w:rsidR="00B54FBF" w:rsidRDefault="00E15ED1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Razlozi povećanja rashoda za zaposlene su porast bruto plaća i s tim povezan porast doprinosa te povećanje ostalih rashoda za zaposlene. Također povećao se i broj zaposlenih budući da je pokrenut projekt Ražanac moj dom + II na kojemu su zaposleni voditelj projekta i deset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gerontodomaćica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značajno povećanje u odnosu</w:t>
      </w:r>
      <w:r w:rsidR="00E021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isto razdoblje 2024. godine kada je projekt započeo te još </w:t>
      </w:r>
      <w:r w:rsidR="00A84D34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bio zaposlen maksimalni broj djelatnika.</w:t>
      </w:r>
    </w:p>
    <w:p w14:paraId="2B8F23F8" w14:textId="77777777" w:rsidR="00A84D34" w:rsidRDefault="00A84D34" w:rsidP="00B54F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B0F09D6" w14:textId="54902CE1" w:rsidR="00357241" w:rsidRDefault="00357241" w:rsidP="003572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1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Materijalni  rashodi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Pr="003F1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32)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izvršeni su 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817.264,32 EUR 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što je za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88,10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više u odnosu na </w:t>
      </w:r>
      <w:bookmarkStart w:id="0" w:name="_Hlk131669175"/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isto razdoblje 202</w:t>
      </w:r>
      <w:r w:rsidR="00E021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3F1C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Materijalni rashodi izvršeni su kako slijedi:</w:t>
      </w:r>
    </w:p>
    <w:p w14:paraId="4AF922DE" w14:textId="069E4825" w:rsidR="00357241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1C3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Naknade troškova zaposlenima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10.650,17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52BB8D77" w14:textId="40A934A3" w:rsidR="00357241" w:rsidRPr="003F1C35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Rashodi za materijal i energiju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111.288,20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002F00E0" w14:textId="46B87F4B" w:rsidR="00357241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Rashodi za usluge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640.739,75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26414168" w14:textId="243D0908" w:rsidR="00357241" w:rsidRDefault="00357241" w:rsidP="0035724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Ostali nespomenuti rashodi poslovanja </w:t>
      </w: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A84D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53.077,61 EUR</w:t>
      </w:r>
      <w:r w:rsidRPr="00ED23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890CA97" w14:textId="77777777" w:rsidR="00E02179" w:rsidRDefault="00E02179" w:rsidP="00E021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702E24" w14:textId="2C942086" w:rsidR="00113900" w:rsidRDefault="00113900" w:rsidP="00E021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Najznačajnije povećanje u odnosu na 2024. godinu bilježi se kod rashoda za sluge. Unutar ove podskupine najznačajniji porast rashoda izvršen je unutar usluga tekućeg i investicijskog održavanja. U prvoj polovici 2025. godine pojačanom dinamikom su se </w:t>
      </w:r>
      <w:r w:rsidR="00584E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odvijali radovi na tekućem  i investicijskom održavanju komunalne infrastrukture što je glavni razlog značajni većeg izvršenja ove podskupine rashoda.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</w:p>
    <w:p w14:paraId="38C500E2" w14:textId="77777777" w:rsidR="009A44F8" w:rsidRPr="00584E6B" w:rsidRDefault="009A44F8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870278" w14:textId="4F7F57A2" w:rsidR="001A539F" w:rsidRDefault="009A44F8" w:rsidP="00B232C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C1D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rashodi (šifra 34)</w:t>
      </w:r>
      <w:r w:rsidRPr="00EC1D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izvršeni su u iznosu od </w:t>
      </w:r>
      <w:r w:rsidR="00584E6B">
        <w:rPr>
          <w:rFonts w:ascii="Times New Roman" w:eastAsia="Times New Roman" w:hAnsi="Times New Roman" w:cs="Times New Roman"/>
          <w:sz w:val="24"/>
          <w:szCs w:val="24"/>
          <w:lang w:eastAsia="hr-HR"/>
        </w:rPr>
        <w:t>4.246,12 EUR</w:t>
      </w:r>
      <w:r w:rsidRPr="00EC1D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584E6B">
        <w:rPr>
          <w:rFonts w:ascii="Times New Roman" w:eastAsia="Times New Roman" w:hAnsi="Times New Roman" w:cs="Times New Roman"/>
          <w:sz w:val="24"/>
          <w:szCs w:val="24"/>
          <w:lang w:eastAsia="hr-HR"/>
        </w:rPr>
        <w:t>55,80</w:t>
      </w:r>
      <w:r w:rsidRPr="00EC1D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odnosu na</w:t>
      </w:r>
      <w:r w:rsidRPr="00EC1D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isto razdoblje 202</w:t>
      </w:r>
      <w:r w:rsidR="001A53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EC1D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</w:p>
    <w:p w14:paraId="32DAD104" w14:textId="3F9FBE1F" w:rsidR="00EC1D8F" w:rsidRDefault="00EC1D8F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741B789" w14:textId="1DC1EE63" w:rsidR="00584E6B" w:rsidRDefault="00584E6B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Povećanje izvršenja ove skupine rashoda u odnosu na isto razdoblje 2024. godine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značajno povećanje ostalih financijskih rashoda. Naime, radi se o naknadi za obradu kredita koje je Općina Ražanac podigla kod HBOR-a. </w:t>
      </w:r>
    </w:p>
    <w:p w14:paraId="71BCC64B" w14:textId="77777777" w:rsidR="00584E6B" w:rsidRPr="00584E6B" w:rsidRDefault="00584E6B" w:rsidP="00584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B17924" w14:textId="17928F49" w:rsidR="00C63BE4" w:rsidRDefault="00342A61" w:rsidP="00A922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Pomoći dane u inozemstvo i unutar općeg proračuna (šifra </w:t>
      </w:r>
      <w:r w:rsidR="00C63BE4"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36</w:t>
      </w:r>
      <w:r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 w:rsidR="00C63BE4"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 izvršene u iznosu od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141.622,06 EUR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predstavlja povećanje od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30,10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isto razdoblje 202</w:t>
      </w:r>
      <w:r w:rsid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C63B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godine.</w:t>
      </w:r>
      <w:r w:rsid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63BE4" w:rsidRP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vrsta rashoda ostvarena je kako slijedi:</w:t>
      </w:r>
    </w:p>
    <w:p w14:paraId="6BF055FF" w14:textId="17EBBA1C" w:rsidR="00A9224E" w:rsidRDefault="00A9224E" w:rsidP="00A9224E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224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Pomoći drugom proračunu i izvanproračunskim korisnicima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9.897,45 EUR</w:t>
      </w:r>
      <w:r w:rsidRP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08BC4C55" w14:textId="2467FC51" w:rsidR="0004511F" w:rsidRPr="00A9224E" w:rsidRDefault="0004511F" w:rsidP="00A9224E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Pomoći proračunskim korisnicima drugih proračuna </w:t>
      </w:r>
      <w:r w:rsidRP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iznosu od 1.875,00 EUR,</w:t>
      </w:r>
    </w:p>
    <w:p w14:paraId="716E19C1" w14:textId="3AE72C44" w:rsidR="00C63BE4" w:rsidRDefault="00C63BE4" w:rsidP="00C63BE4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63BE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Prijenos proračunskim korisnicima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129.849,61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3F82910" w14:textId="77777777" w:rsidR="00A9224E" w:rsidRDefault="00A9224E" w:rsidP="00A92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465A37" w14:textId="31873E74" w:rsidR="00A9224E" w:rsidRPr="00A9224E" w:rsidRDefault="00A9224E" w:rsidP="00A92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Prijenos proračunskim korisnicima najznačajnije je porastao u odnosu na isto razdoblje 2024. godine  dok su ostale podskupine na prošlogodišnjoj razini ili manje. Prijenos proračunskim korisnicima primarno je porastao zbog povećanja bruto plaća svim zaposlenicima proračunskih korisnika. </w:t>
      </w:r>
    </w:p>
    <w:p w14:paraId="07AC5DF0" w14:textId="77777777" w:rsidR="00EC1D8F" w:rsidRPr="00F9253A" w:rsidRDefault="00EC1D8F" w:rsidP="00EC1D8F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CC5E37F" w14:textId="1D981653" w:rsidR="00A9224E" w:rsidRDefault="00C63BE4" w:rsidP="00C63B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63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Naknade građanima i kućanstvima na temelju osiguranja i druge naknade (šifra 37)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izvršene su u iznosu od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54.226,23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je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61,1</w:t>
      </w:r>
      <w:r w:rsid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više u odnosu na isto razdoblje 202</w:t>
      </w:r>
      <w:r w:rsidR="00A922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</w:p>
    <w:p w14:paraId="65E88620" w14:textId="77777777" w:rsidR="00A9224E" w:rsidRPr="00A9224E" w:rsidRDefault="00A9224E" w:rsidP="00A9224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09E704" w14:textId="2422B0AC" w:rsidR="003831C7" w:rsidRDefault="001F6575" w:rsidP="003831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Naknade građanima i kućanstvima su porasle u značajnom iznosu zbog odluke da Općina Ražanac dodjeli pomoć za svako novorođeno dijete u iznosu od 1.000,00 eura godišnje do sedme godine života djeteta. Kako se ova odluka počela primjenjivati početkom 2024. godine suma je višestruko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narasla zbog predaje zahtjeva (kojih je 30-ak godišnje) te isplate drugih rata prema sklopljenim ugovorima. Ovakav trend rasta očekuje se sedam godina uzastopno.  </w:t>
      </w:r>
    </w:p>
    <w:p w14:paraId="2C13B003" w14:textId="77777777" w:rsidR="001F6575" w:rsidRDefault="001F6575" w:rsidP="003831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50EB31" w14:textId="06B0C107" w:rsidR="001F6575" w:rsidRDefault="001F6575" w:rsidP="003831C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donacije, kazne, naknade šteta i kapitalne pomoći</w:t>
      </w:r>
      <w:r w:rsidR="003831C7" w:rsidRPr="003831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(šifra 38)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izvršeni su u iznosu od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78.285,86 EUR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za </w:t>
      </w:r>
      <w:r w:rsidR="000451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11,90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više u odnosu na isto izvještajno razdoblje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38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godine. </w:t>
      </w:r>
    </w:p>
    <w:p w14:paraId="266FAC61" w14:textId="77777777" w:rsidR="001F6575" w:rsidRDefault="001F6575" w:rsidP="001F65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887246" w14:textId="5663A8E6" w:rsidR="009A44F8" w:rsidRPr="009A44F8" w:rsidRDefault="001F6575" w:rsidP="009A4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Osnovni razlog povećanja ove skupine rashoda je donacija Turističkoj zajednici Općine Ražanac gdje je prva tranša predviđenih sredstava išla u prvom tromjesečju dok je prethodne godine to bilo u trećem tromjesečju. Također povećana su i izdvajanja za </w:t>
      </w:r>
      <w:r w:rsidR="00770A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DVD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Ražanac. </w:t>
      </w:r>
    </w:p>
    <w:p w14:paraId="3992854A" w14:textId="49EF689B" w:rsidR="00B54FBF" w:rsidRPr="00B54FBF" w:rsidRDefault="00B54FBF" w:rsidP="00357241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E03A5" w14:textId="24BE796A" w:rsidR="00190AD8" w:rsidRPr="003203BD" w:rsidRDefault="00190AD8" w:rsidP="00190A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3BD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14:paraId="24232385" w14:textId="0C49968B" w:rsidR="00BC3257" w:rsidRDefault="00190AD8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prodaje nefinancijske imovine ostvareni su u iznosu 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12.446,01 EUR</w:t>
      </w: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96,20</w:t>
      </w:r>
      <w:r w:rsidR="00E96D36"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>% manje u odnosu na isto razdoblje 202</w:t>
      </w:r>
      <w:r w:rsidR="003203BD"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20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7854AD4E" w14:textId="77777777" w:rsidR="003203BD" w:rsidRDefault="003203BD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C7EF3" w14:textId="3632BFAE" w:rsidR="003203BD" w:rsidRPr="006300E2" w:rsidRDefault="003203BD" w:rsidP="006300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prodaje nefinancijske imovine značajno su manji zbog toga što do kraja prvog tromjesečja elaborati nisu izrađeni te se nije moglo pristupiti prodaji nefinancijske imovine. Porast ove </w:t>
      </w:r>
      <w:r w:rsidR="002373CB">
        <w:rPr>
          <w:rFonts w:ascii="Times New Roman" w:eastAsia="Times New Roman" w:hAnsi="Times New Roman" w:cs="Times New Roman"/>
          <w:sz w:val="24"/>
          <w:szCs w:val="24"/>
          <w:lang w:eastAsia="hr-HR"/>
        </w:rPr>
        <w:t>vrste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očekuje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u drugoj polovici 2025. godine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493DF6" w14:textId="77777777" w:rsidR="006300E2" w:rsidRDefault="006300E2" w:rsidP="006300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7EDC3E" w14:textId="66A1A845" w:rsidR="006300E2" w:rsidRPr="006B40A5" w:rsidRDefault="006300E2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ASHODI ZA NABAVU NEFINANCIJSKE IMOVINE </w:t>
      </w:r>
    </w:p>
    <w:p w14:paraId="5ED3F40A" w14:textId="5C5BE9F4" w:rsidR="006300E2" w:rsidRDefault="006300E2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nabavu nefinancijske imovine izvršeni su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1.307.987,83 EUR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za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87,00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više u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nosu na isto razdoblje 202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C0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40A5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  <w:r w:rsidRPr="00ED4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 imovine  ostvareni su kako slijedi:</w:t>
      </w:r>
    </w:p>
    <w:p w14:paraId="1F7BFB29" w14:textId="77777777" w:rsidR="002A7116" w:rsidRDefault="002A7116" w:rsidP="00630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C2B80A" w14:textId="378096CA" w:rsidR="002A7116" w:rsidRPr="002A7116" w:rsidRDefault="002A7116" w:rsidP="002A711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za nabavu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proizvedene</w:t>
      </w:r>
      <w:proofErr w:type="spellEnd"/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dugotrajne imovine (šifra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2A71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300E2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izvršeni su u iznosu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18.029,75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74,10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isto razdoblje 2024. godine.</w:t>
      </w:r>
    </w:p>
    <w:p w14:paraId="72A252D1" w14:textId="77777777" w:rsidR="00BC0F43" w:rsidRPr="00946CE5" w:rsidRDefault="00BC0F43" w:rsidP="00BC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B397E62" w14:textId="0A9F3953" w:rsidR="00BC0F43" w:rsidRPr="00C63BE4" w:rsidRDefault="00BC0F43" w:rsidP="00BC0F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30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nabavu proizvedene dugotrajne imovine </w:t>
      </w:r>
      <w:r w:rsidRPr="00630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(šifra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</w:t>
      </w:r>
      <w:r w:rsidRPr="006300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</w:t>
      </w:r>
      <w:r w:rsidRPr="006300E2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izvršeni su u iznosu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1.182.177,76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povećanje od </w:t>
      </w:r>
      <w:r w:rsidR="002A7116">
        <w:rPr>
          <w:rFonts w:ascii="Times New Roman" w:eastAsia="Times New Roman" w:hAnsi="Times New Roman" w:cs="Times New Roman"/>
          <w:sz w:val="24"/>
          <w:szCs w:val="24"/>
          <w:lang w:eastAsia="hr-HR"/>
        </w:rPr>
        <w:t>105,20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u odnosu na isto razdoblje 202</w:t>
      </w:r>
      <w:r w:rsidR="001118B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 w:rsidRPr="00BC0F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vrsta rashoda izvršena je kako slijedi:</w:t>
      </w:r>
    </w:p>
    <w:p w14:paraId="37B22A47" w14:textId="0CD7806E" w:rsidR="00BC0F43" w:rsidRDefault="00BC0F43" w:rsidP="00BC0F4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Građevinski objekti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1.132.772,46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2D63103F" w14:textId="77AD1497" w:rsidR="00BC0F43" w:rsidRDefault="00BC0F43" w:rsidP="00BC0F4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Postrojenja i oprema </w:t>
      </w:r>
      <w:r w:rsidRPr="00BC0F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17.030,30 EUR</w:t>
      </w:r>
      <w:r w:rsidRPr="00BC0F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292613B5" w14:textId="751B0E3D" w:rsidR="00BC0F43" w:rsidRDefault="002806F9" w:rsidP="00BC0F4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6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Nematerijalna proizvedena imovina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32.375,00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5BB7D93" w14:textId="77777777" w:rsidR="002806F9" w:rsidRDefault="002806F9" w:rsidP="002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DECBB5" w14:textId="57029681" w:rsidR="0005356B" w:rsidRPr="001118BD" w:rsidRDefault="002806F9" w:rsidP="00A66FA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118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dodatna ulaganja na nefinancijskoj imovini (šifra 45)</w:t>
      </w:r>
      <w:r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izvršeni su u iznosu od 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107.780,32 EUR</w:t>
      </w:r>
      <w:r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povećanje za 101,20 % u odnosu na isto 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razdoblj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2024. godin</w:t>
      </w:r>
      <w:r w:rsidR="002A71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118BD" w:rsidRP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6B0FBBFF" w14:textId="77777777" w:rsidR="00D42C2C" w:rsidRDefault="00D42C2C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</w:p>
    <w:p w14:paraId="47AC0A20" w14:textId="01D08512" w:rsidR="0005356B" w:rsidRDefault="00B37B9D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7B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IZDACI ZA FINANCIJSKU IMOVINU IOTPLATE ZAJMOVA</w:t>
      </w:r>
    </w:p>
    <w:p w14:paraId="31E908B4" w14:textId="2C128439" w:rsidR="006F21C3" w:rsidRPr="00B37B9D" w:rsidRDefault="00B37B9D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37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Izdaci za financijsku imovinu i otplate zajmova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izvršeni su u iznosu od </w:t>
      </w:r>
      <w:r w:rsidR="002373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9.</w:t>
      </w:r>
      <w:r w:rsidR="002373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595,90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373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odnose se otplatu kredita 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kojeg je Općina Ražanac podigla kod Hrvatske banke za obnovu i razvitak za rekonstrukciju javne rasvjete. Tokom </w:t>
      </w:r>
      <w:r w:rsid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istog razdoblja 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1118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nije bilo izvršenja ove vrste rashoda.</w:t>
      </w:r>
    </w:p>
    <w:p w14:paraId="2D5BBC74" w14:textId="77777777" w:rsidR="00B37B9D" w:rsidRDefault="00B37B9D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</w:p>
    <w:p w14:paraId="14A4B946" w14:textId="6F1281AA" w:rsidR="006F21C3" w:rsidRPr="006F21C3" w:rsidRDefault="006F21C3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21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Višak prihoda i primitaka raspoloživ u slijedećem razdoblju</w:t>
      </w:r>
    </w:p>
    <w:p w14:paraId="023716E2" w14:textId="473AA5EB" w:rsidR="00F9253A" w:rsidRDefault="006F21C3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izvještajnom razdoblju ostvaren je ukupni višak prihoda i primitaka u odnosu na rashode i izdatke u iznosu od </w:t>
      </w:r>
      <w:r w:rsidR="002373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170.627,19 EUR</w:t>
      </w:r>
      <w:r w:rsid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F1C6AA9" w14:textId="77777777" w:rsidR="0005356B" w:rsidRDefault="0005356B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235133" w14:textId="1190FC98" w:rsidR="00BC0F43" w:rsidRPr="00F9253A" w:rsidRDefault="00280805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8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Prosječan broj zaposlenih </w:t>
      </w:r>
    </w:p>
    <w:p w14:paraId="16E1FE28" w14:textId="709A809B" w:rsidR="00280805" w:rsidRDefault="00280805" w:rsidP="006F2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Tokom izvještajnog razdoblja prosječan broj zaposlenih iznosi 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</w:t>
      </w:r>
      <w:r w:rsidRP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D42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devetnaest</w:t>
      </w:r>
      <w:r w:rsidRPr="00280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59D6EAC2" w14:textId="77777777" w:rsidR="00993E60" w:rsidRDefault="00993E60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8B49936" w14:textId="77777777" w:rsidR="00DF1F2C" w:rsidRDefault="00DF1F2C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91DACC" w14:textId="298B2DD7" w:rsidR="00891D0B" w:rsidRDefault="00DF1F2C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2</w:t>
      </w:r>
      <w:r w:rsidR="00891D0B" w:rsidRPr="00891D0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. </w:t>
      </w:r>
      <w:r w:rsidR="00891D0B" w:rsidRPr="00891D0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Bilješke</w:t>
      </w:r>
      <w:r w:rsidR="00891D0B" w:rsidRPr="00E10D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Izvještaj o</w:t>
      </w:r>
      <w:r w:rsidR="00891D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obvezama</w:t>
      </w:r>
    </w:p>
    <w:p w14:paraId="5669CBD8" w14:textId="2683AFEF" w:rsidR="00891D0B" w:rsidRDefault="00891D0B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CD1B6B" w14:textId="6A69D813" w:rsidR="00450E95" w:rsidRDefault="00993E60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početku izvještajnog razdoblja, odnosno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1. siječnja 202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godine, ukupne obveze iznosile su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424.257,39 EUR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Tijekom 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izvještajnog razdoblja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preuzete su </w:t>
      </w:r>
      <w:r w:rsidR="00F925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2.548.441,92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EUR, dok su tijekom 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izvještajnog razdoblja podmirene u iznosu od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2.310.221,60 EUR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772BBBCE" w14:textId="77777777" w:rsidR="00450E95" w:rsidRDefault="00450E95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8533005" w14:textId="0238F897" w:rsidR="00FA6BDA" w:rsidRDefault="00450E95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kraju izvještajnog razdoblja Općina Ražanac ima evidentirane ukupne obveze u iznosu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662.477,71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čega </w:t>
      </w:r>
      <w:r w:rsidR="00DF1F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46.067,44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dospjelo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 w:rsidR="005D3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616.410,27 EUR nedospjelo</w:t>
      </w:r>
      <w:r w:rsidR="00FA6BD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25836552" w14:textId="77777777" w:rsidR="00FA6BDA" w:rsidRDefault="00FA6BDA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D985A9" w14:textId="7D59BEA6" w:rsidR="00FA6BDA" w:rsidRDefault="005D3C46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Obveze koje su dospjele a nisu podmirene odnose se na </w:t>
      </w:r>
      <w:r w:rsidR="00DE13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račune dobavljača koji zbog nekog razloga nisu potpuni te prema Proceduri nisu poslani na plaćanje te se čeka da dobavljači upotpune elemente koji nedostaju kako bi se obaveze podmirile.</w:t>
      </w:r>
    </w:p>
    <w:p w14:paraId="727F7FBD" w14:textId="77777777" w:rsidR="00FA6BDA" w:rsidRDefault="00FA6BDA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E434E9" w14:textId="77777777" w:rsidR="00FA6BDA" w:rsidRDefault="00FA6BDA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34AE30" w14:textId="4EC1A602" w:rsidR="0005356B" w:rsidRPr="006B57B2" w:rsidRDefault="0005356B" w:rsidP="000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Ražancu </w:t>
      </w:r>
      <w:r w:rsidR="00DF1F2C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D3C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srpnja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A6B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00B2447" w14:textId="77777777" w:rsidR="0005356B" w:rsidRDefault="0005356B" w:rsidP="0005356B">
      <w:pPr>
        <w:rPr>
          <w:rFonts w:ascii="Times New Roman" w:hAnsi="Times New Roman" w:cs="Times New Roman"/>
          <w:b/>
          <w:sz w:val="24"/>
          <w:szCs w:val="24"/>
        </w:rPr>
      </w:pPr>
    </w:p>
    <w:p w14:paraId="567BA483" w14:textId="77777777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324EE" w14:textId="77777777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>Bilješke izradio:</w:t>
      </w:r>
    </w:p>
    <w:p w14:paraId="144D7002" w14:textId="4EFF9B41" w:rsidR="00FA6BDA" w:rsidRDefault="00FA6BDA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 UO za </w:t>
      </w:r>
      <w:r w:rsidR="00EF6BEA">
        <w:rPr>
          <w:rFonts w:ascii="Times New Roman" w:hAnsi="Times New Roman" w:cs="Times New Roman"/>
          <w:sz w:val="24"/>
          <w:szCs w:val="24"/>
        </w:rPr>
        <w:t>financije, proračun i ekonomske poslove</w:t>
      </w:r>
    </w:p>
    <w:p w14:paraId="568CBB84" w14:textId="05AEFD40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A2F">
        <w:rPr>
          <w:rFonts w:ascii="Times New Roman" w:hAnsi="Times New Roman" w:cs="Times New Roman"/>
          <w:sz w:val="24"/>
          <w:szCs w:val="24"/>
        </w:rPr>
        <w:t xml:space="preserve">Marko Katić, </w:t>
      </w:r>
      <w:r w:rsidR="00FA6BDA">
        <w:rPr>
          <w:rFonts w:ascii="Times New Roman" w:hAnsi="Times New Roman" w:cs="Times New Roman"/>
          <w:sz w:val="24"/>
          <w:szCs w:val="24"/>
        </w:rPr>
        <w:t>mag.</w:t>
      </w:r>
      <w:r w:rsidR="00DF1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F2C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FA6BDA">
        <w:rPr>
          <w:rFonts w:ascii="Times New Roman" w:hAnsi="Times New Roman" w:cs="Times New Roman"/>
          <w:sz w:val="24"/>
          <w:szCs w:val="24"/>
        </w:rPr>
        <w:t>.</w:t>
      </w:r>
      <w:r w:rsidR="00DF1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262F2" w14:textId="1497D789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A9C7C" w14:textId="77777777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F73CF" w14:textId="77777777" w:rsidR="00FA6BDA" w:rsidRDefault="00FA6BDA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7B4F9" w14:textId="77777777" w:rsidR="00FA6BDA" w:rsidRDefault="00FA6BDA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1E7DB" w14:textId="77777777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8C036" w14:textId="77777777" w:rsidR="0005356B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Damir Jordan, ing.</w:t>
      </w:r>
    </w:p>
    <w:p w14:paraId="52B290A3" w14:textId="77777777" w:rsidR="0005356B" w:rsidRPr="004F4A2F" w:rsidRDefault="0005356B" w:rsidP="00053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Općinski načelnik</w:t>
      </w:r>
    </w:p>
    <w:p w14:paraId="2035FE35" w14:textId="77777777" w:rsidR="00F9253A" w:rsidRPr="00891D0B" w:rsidRDefault="00F9253A" w:rsidP="00891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F9253A" w:rsidRPr="00891D0B" w:rsidSect="00916F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0FB6"/>
    <w:multiLevelType w:val="hybridMultilevel"/>
    <w:tmpl w:val="962EF2D0"/>
    <w:lvl w:ilvl="0" w:tplc="44D04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E69B8"/>
    <w:multiLevelType w:val="hybridMultilevel"/>
    <w:tmpl w:val="E92239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941F9A"/>
    <w:multiLevelType w:val="hybridMultilevel"/>
    <w:tmpl w:val="9DCC2334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41EEB"/>
    <w:multiLevelType w:val="hybridMultilevel"/>
    <w:tmpl w:val="CEF669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46968137">
    <w:abstractNumId w:val="2"/>
  </w:num>
  <w:num w:numId="2" w16cid:durableId="2084716257">
    <w:abstractNumId w:val="0"/>
  </w:num>
  <w:num w:numId="3" w16cid:durableId="1037050116">
    <w:abstractNumId w:val="3"/>
  </w:num>
  <w:num w:numId="4" w16cid:durableId="26184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E0"/>
    <w:rsid w:val="00002626"/>
    <w:rsid w:val="0004511F"/>
    <w:rsid w:val="0005356B"/>
    <w:rsid w:val="00060610"/>
    <w:rsid w:val="000D0852"/>
    <w:rsid w:val="001118BD"/>
    <w:rsid w:val="00113900"/>
    <w:rsid w:val="0017439C"/>
    <w:rsid w:val="00190AD8"/>
    <w:rsid w:val="001A539F"/>
    <w:rsid w:val="001F6575"/>
    <w:rsid w:val="001F720D"/>
    <w:rsid w:val="002124AA"/>
    <w:rsid w:val="002373CB"/>
    <w:rsid w:val="002735F5"/>
    <w:rsid w:val="002806F9"/>
    <w:rsid w:val="00280805"/>
    <w:rsid w:val="002A7116"/>
    <w:rsid w:val="00311CB3"/>
    <w:rsid w:val="003203BD"/>
    <w:rsid w:val="00342A61"/>
    <w:rsid w:val="00357241"/>
    <w:rsid w:val="003831C7"/>
    <w:rsid w:val="003B0C9F"/>
    <w:rsid w:val="00450E95"/>
    <w:rsid w:val="004B1FE0"/>
    <w:rsid w:val="004F1969"/>
    <w:rsid w:val="00514533"/>
    <w:rsid w:val="00584E6B"/>
    <w:rsid w:val="005D3C46"/>
    <w:rsid w:val="006300E2"/>
    <w:rsid w:val="0064009B"/>
    <w:rsid w:val="00671BFF"/>
    <w:rsid w:val="006B5AE5"/>
    <w:rsid w:val="006F21C3"/>
    <w:rsid w:val="00770A5F"/>
    <w:rsid w:val="00891D0B"/>
    <w:rsid w:val="008A5825"/>
    <w:rsid w:val="008E068F"/>
    <w:rsid w:val="00916F0A"/>
    <w:rsid w:val="00946CE5"/>
    <w:rsid w:val="00993E60"/>
    <w:rsid w:val="009A44F8"/>
    <w:rsid w:val="009B5E0C"/>
    <w:rsid w:val="009D3BF0"/>
    <w:rsid w:val="00A84D34"/>
    <w:rsid w:val="00A9224E"/>
    <w:rsid w:val="00B004AE"/>
    <w:rsid w:val="00B3224F"/>
    <w:rsid w:val="00B37B9D"/>
    <w:rsid w:val="00B54FBF"/>
    <w:rsid w:val="00BC0F43"/>
    <w:rsid w:val="00BC3257"/>
    <w:rsid w:val="00BF0481"/>
    <w:rsid w:val="00C40658"/>
    <w:rsid w:val="00C63BE4"/>
    <w:rsid w:val="00CD3592"/>
    <w:rsid w:val="00CE1394"/>
    <w:rsid w:val="00D42C2C"/>
    <w:rsid w:val="00D52158"/>
    <w:rsid w:val="00D829B6"/>
    <w:rsid w:val="00DB0637"/>
    <w:rsid w:val="00DB071D"/>
    <w:rsid w:val="00DB610E"/>
    <w:rsid w:val="00DE1363"/>
    <w:rsid w:val="00DF1F2C"/>
    <w:rsid w:val="00E02179"/>
    <w:rsid w:val="00E15ED1"/>
    <w:rsid w:val="00E96D36"/>
    <w:rsid w:val="00EB0377"/>
    <w:rsid w:val="00EC0DE7"/>
    <w:rsid w:val="00EC1D8F"/>
    <w:rsid w:val="00EF6BEA"/>
    <w:rsid w:val="00F77FB3"/>
    <w:rsid w:val="00F9253A"/>
    <w:rsid w:val="00FA6BDA"/>
    <w:rsid w:val="00F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AD24"/>
  <w15:chartTrackingRefBased/>
  <w15:docId w15:val="{D63BC03B-9073-4E69-A825-546B91B3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Ražanac</dc:creator>
  <cp:keywords/>
  <dc:description/>
  <cp:lastModifiedBy>Općina Ražanac</cp:lastModifiedBy>
  <cp:revision>24</cp:revision>
  <dcterms:created xsi:type="dcterms:W3CDTF">2024-02-08T10:48:00Z</dcterms:created>
  <dcterms:modified xsi:type="dcterms:W3CDTF">2025-07-08T11:15:00Z</dcterms:modified>
</cp:coreProperties>
</file>